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  <w:bookmarkStart w:id="0" w:name="_GoBack"/>
      <w:bookmarkEnd w:id="0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555A2BAA" w:rsidR="004B3C3F" w:rsidRDefault="00110C77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</w:t>
            </w:r>
            <w:r w:rsidR="004B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 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13F29207" w:rsidR="002E1933" w:rsidRPr="006B0467" w:rsidRDefault="00AB16D0" w:rsidP="00EA5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50B2FF11" w:rsidR="002E1933" w:rsidRPr="006B0467" w:rsidRDefault="00EB3E37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0A6CC9" w14:paraId="48EFDB0B" w14:textId="77777777" w:rsidTr="00EC2E1A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</w:tcPr>
          <w:p w14:paraId="6EB5A109" w14:textId="04C1CEB8" w:rsidR="00E47A40" w:rsidRPr="00110C77" w:rsidRDefault="00AB16D0" w:rsidP="003043E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10C77">
              <w:rPr>
                <w:rFonts w:ascii="Times New Roman" w:hAnsi="Times New Roman" w:cs="Times New Roman"/>
              </w:rPr>
              <w:t>1.</w:t>
            </w:r>
            <w:r w:rsidR="00110C77" w:rsidRPr="00110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EA" w:rsidRPr="00110C77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</w:t>
            </w:r>
            <w:r w:rsidR="003043EA" w:rsidRPr="00110C77">
              <w:rPr>
                <w:rFonts w:ascii="Times New Roman" w:hAnsi="Times New Roman" w:cs="Times New Roman"/>
              </w:rPr>
              <w:t>Komisyonunun çalışma usul ve esasları</w:t>
            </w:r>
          </w:p>
        </w:tc>
      </w:tr>
      <w:tr w:rsidR="000A6CC9" w14:paraId="5D551055" w14:textId="77777777" w:rsidTr="00EC2E1A">
        <w:trPr>
          <w:trHeight w:val="397"/>
        </w:trPr>
        <w:tc>
          <w:tcPr>
            <w:tcW w:w="2263" w:type="dxa"/>
            <w:vMerge/>
          </w:tcPr>
          <w:p w14:paraId="34B309B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3898235" w14:textId="7A37D339" w:rsidR="00E47A40" w:rsidRPr="00110C77" w:rsidRDefault="003F6659" w:rsidP="003043E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10C77">
              <w:rPr>
                <w:rFonts w:ascii="Times New Roman" w:hAnsi="Times New Roman" w:cs="Times New Roman"/>
              </w:rPr>
              <w:t>2.</w:t>
            </w:r>
            <w:r w:rsidR="00AB16D0" w:rsidRPr="00110C77">
              <w:rPr>
                <w:rFonts w:ascii="Times New Roman" w:hAnsi="Times New Roman" w:cs="Times New Roman"/>
              </w:rPr>
              <w:t xml:space="preserve"> </w:t>
            </w:r>
            <w:r w:rsidR="003043EA" w:rsidRPr="00110C77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</w:t>
            </w:r>
            <w:r w:rsidR="003043EA" w:rsidRPr="00110C77">
              <w:rPr>
                <w:rFonts w:ascii="Times New Roman" w:hAnsi="Times New Roman" w:cs="Times New Roman"/>
              </w:rPr>
              <w:t>Komisyonunun görevlerinin değerlendirilmesi</w:t>
            </w:r>
          </w:p>
        </w:tc>
      </w:tr>
      <w:tr w:rsidR="000A6CC9" w14:paraId="590850A4" w14:textId="77777777" w:rsidTr="00EC2E1A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650137C" w14:textId="5E855FAB" w:rsidR="000A6CC9" w:rsidRPr="00110C77" w:rsidRDefault="003F6659" w:rsidP="003043E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10C77">
              <w:rPr>
                <w:rFonts w:ascii="Times New Roman" w:hAnsi="Times New Roman" w:cs="Times New Roman"/>
              </w:rPr>
              <w:t>3.</w:t>
            </w:r>
            <w:r w:rsidR="00AB16D0" w:rsidRPr="00110C77">
              <w:rPr>
                <w:rFonts w:ascii="Times New Roman" w:hAnsi="Times New Roman" w:cs="Times New Roman"/>
              </w:rPr>
              <w:t xml:space="preserve"> </w:t>
            </w:r>
            <w:r w:rsidR="003043EA" w:rsidRPr="00110C77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</w:t>
            </w:r>
            <w:r w:rsidR="003043EA" w:rsidRPr="00110C77">
              <w:rPr>
                <w:rFonts w:ascii="Times New Roman" w:hAnsi="Times New Roman" w:cs="Times New Roman"/>
              </w:rPr>
              <w:t xml:space="preserve">Komisyonunun </w:t>
            </w:r>
            <w:r w:rsidR="003043EA">
              <w:rPr>
                <w:rFonts w:ascii="Times New Roman" w:hAnsi="Times New Roman" w:cs="Times New Roman"/>
              </w:rPr>
              <w:t>yetkileri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208DC7D4" w:rsidR="000A6CC9" w:rsidRPr="00CE0B3A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043EA" w:rsidRPr="00110C77">
              <w:rPr>
                <w:rFonts w:ascii="Times New Roman" w:hAnsi="Times New Roman" w:cs="Times New Roman"/>
                <w:sz w:val="24"/>
                <w:szCs w:val="24"/>
              </w:rPr>
              <w:t xml:space="preserve"> Eğitim Öğretim </w:t>
            </w:r>
            <w:r w:rsidR="003043EA" w:rsidRPr="00110C77">
              <w:rPr>
                <w:rFonts w:ascii="Times New Roman" w:hAnsi="Times New Roman" w:cs="Times New Roman"/>
              </w:rPr>
              <w:t>Komisyonunun politikası</w:t>
            </w:r>
          </w:p>
        </w:tc>
      </w:tr>
      <w:tr w:rsidR="000A6CC9" w14:paraId="49ACFCB6" w14:textId="77777777" w:rsidTr="005D67C4">
        <w:trPr>
          <w:trHeight w:val="567"/>
        </w:trPr>
        <w:tc>
          <w:tcPr>
            <w:tcW w:w="9062" w:type="dxa"/>
            <w:gridSpan w:val="4"/>
            <w:vAlign w:val="center"/>
          </w:tcPr>
          <w:p w14:paraId="78D976BC" w14:textId="6DE6BF7F" w:rsidR="000A6CC9" w:rsidRDefault="00110C77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Öğretim Komisyonu </w:t>
            </w:r>
            <w:r w:rsidR="0057067D">
              <w:rPr>
                <w:rFonts w:ascii="Times New Roman" w:hAnsi="Times New Roman" w:cs="Times New Roman"/>
                <w:b/>
                <w:sz w:val="24"/>
                <w:szCs w:val="24"/>
              </w:rPr>
              <w:t>Üyeleri</w:t>
            </w:r>
          </w:p>
        </w:tc>
      </w:tr>
      <w:tr w:rsidR="002F4FDE" w14:paraId="3584E582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0C67BA0C" w14:textId="20671F24" w:rsidR="002F4FDE" w:rsidRPr="00113310" w:rsidRDefault="00DB3A71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 Ad Soyadı</w:t>
            </w:r>
          </w:p>
        </w:tc>
        <w:tc>
          <w:tcPr>
            <w:tcW w:w="1984" w:type="dxa"/>
            <w:vAlign w:val="center"/>
          </w:tcPr>
          <w:p w14:paraId="02590F5E" w14:textId="1E6F2520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263" w:type="dxa"/>
            <w:vAlign w:val="center"/>
          </w:tcPr>
          <w:p w14:paraId="2DAF34AF" w14:textId="7DAE9062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F10D6" w14:paraId="3F267627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1CA37C21" w14:textId="6127264C" w:rsidR="000F10D6" w:rsidRPr="000F10D6" w:rsidRDefault="000F10D6" w:rsidP="00E13CFC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E13CFC">
              <w:rPr>
                <w:rFonts w:ascii="Times New Roman" w:hAnsi="Times New Roman" w:cs="Times New Roman"/>
                <w:bCs/>
                <w:sz w:val="24"/>
                <w:szCs w:val="24"/>
              </w:rPr>
              <w:t>Tuncay KARATEKE</w:t>
            </w:r>
          </w:p>
        </w:tc>
        <w:tc>
          <w:tcPr>
            <w:tcW w:w="1984" w:type="dxa"/>
            <w:vAlign w:val="center"/>
          </w:tcPr>
          <w:p w14:paraId="46DDB450" w14:textId="411A2E2C" w:rsidR="000F10D6" w:rsidRPr="00113310" w:rsidRDefault="000F10D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263" w:type="dxa"/>
            <w:vAlign w:val="center"/>
          </w:tcPr>
          <w:p w14:paraId="425B2EFD" w14:textId="53F4A114" w:rsidR="000F10D6" w:rsidRPr="00113310" w:rsidRDefault="00AA710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38890E47" w14:textId="2BCD9E74" w:rsidR="00EC2E1A" w:rsidRPr="00113310" w:rsidRDefault="00E13CFC" w:rsidP="00505B2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Erkan YAR</w:t>
            </w:r>
          </w:p>
        </w:tc>
        <w:tc>
          <w:tcPr>
            <w:tcW w:w="1984" w:type="dxa"/>
            <w:vAlign w:val="center"/>
          </w:tcPr>
          <w:p w14:paraId="7CF59940" w14:textId="5E0EFCD5" w:rsidR="00EC2E1A" w:rsidRPr="00113310" w:rsidRDefault="000F10D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50515D2" w14:textId="53741D4C" w:rsidR="00EC2E1A" w:rsidRPr="00113310" w:rsidRDefault="00AA710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6BB14896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397A2BA3" w14:textId="19780C84" w:rsidR="00AA7108" w:rsidRPr="00113310" w:rsidRDefault="00AA7108" w:rsidP="00AA710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Sami KILIÇ</w:t>
            </w:r>
          </w:p>
        </w:tc>
        <w:tc>
          <w:tcPr>
            <w:tcW w:w="1984" w:type="dxa"/>
            <w:vAlign w:val="center"/>
          </w:tcPr>
          <w:p w14:paraId="1EE8D100" w14:textId="6AEB3B15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64A6BD19" w14:textId="573FB9A3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12287DA1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666AC3B9" w14:textId="0309BCFB" w:rsidR="00AA7108" w:rsidRPr="00113310" w:rsidRDefault="00AA7108" w:rsidP="00AA7108">
            <w:pPr>
              <w:pStyle w:val="GvdeMetni"/>
            </w:pPr>
            <w:r>
              <w:t>Prof. Dr. Selim ÖZARSLAN</w:t>
            </w:r>
          </w:p>
        </w:tc>
        <w:tc>
          <w:tcPr>
            <w:tcW w:w="1984" w:type="dxa"/>
            <w:vAlign w:val="center"/>
          </w:tcPr>
          <w:p w14:paraId="28E38F83" w14:textId="7CE7CFB5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3D055F5E" w14:textId="42C18100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167EE3C1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215A8FCB" w14:textId="5627816D" w:rsidR="00AA7108" w:rsidRPr="00113310" w:rsidRDefault="00AA7108" w:rsidP="00AA7108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Doç. Dr. Hüsamettin KARATAŞ</w:t>
            </w:r>
          </w:p>
        </w:tc>
        <w:tc>
          <w:tcPr>
            <w:tcW w:w="1984" w:type="dxa"/>
            <w:vAlign w:val="center"/>
          </w:tcPr>
          <w:p w14:paraId="2A4B2A20" w14:textId="77777777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09BDD20" w14:textId="4B7755CA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71CB7F86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15DEC60E" w14:textId="6CDDA8E1" w:rsidR="00AA7108" w:rsidRPr="00113310" w:rsidRDefault="00AA7108" w:rsidP="00AA7108">
            <w:pPr>
              <w:pStyle w:val="GvdeMetni"/>
            </w:pPr>
            <w:r>
              <w:t>Doç. Dr. Erdoğan SARITEPE</w:t>
            </w:r>
          </w:p>
        </w:tc>
        <w:tc>
          <w:tcPr>
            <w:tcW w:w="1984" w:type="dxa"/>
            <w:vAlign w:val="center"/>
          </w:tcPr>
          <w:p w14:paraId="1E60B29F" w14:textId="4F7AFA6F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EB145B0" w14:textId="3C230FCF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127AB88E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320D6936" w14:textId="44EBD7E5" w:rsidR="00AA7108" w:rsidRPr="00113310" w:rsidRDefault="00AA7108" w:rsidP="00AA7108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Necmettin TAN</w:t>
            </w:r>
          </w:p>
        </w:tc>
        <w:tc>
          <w:tcPr>
            <w:tcW w:w="1984" w:type="dxa"/>
            <w:vAlign w:val="center"/>
          </w:tcPr>
          <w:p w14:paraId="4789FBDB" w14:textId="438D54ED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138FE617" w14:textId="30C16251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0E6E9116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1CF40F66" w14:textId="7C70974F" w:rsidR="00AA7108" w:rsidRPr="00113310" w:rsidRDefault="00AA7108" w:rsidP="00AA7108">
            <w:pPr>
              <w:pStyle w:val="GvdeMetni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Öğr</w:t>
            </w:r>
            <w:proofErr w:type="spellEnd"/>
            <w:r>
              <w:rPr>
                <w:rFonts w:asciiTheme="majorBidi" w:hAnsiTheme="majorBidi" w:cstheme="majorBidi"/>
              </w:rPr>
              <w:t>. Gör. Tahir KARAMAN</w:t>
            </w:r>
          </w:p>
        </w:tc>
        <w:tc>
          <w:tcPr>
            <w:tcW w:w="1984" w:type="dxa"/>
            <w:vAlign w:val="center"/>
          </w:tcPr>
          <w:p w14:paraId="59FF7CF1" w14:textId="77777777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39690EEE" w14:textId="05E57DF1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707E5AB3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739768B4" w14:textId="3055E031" w:rsidR="00AA7108" w:rsidRPr="00113310" w:rsidRDefault="00AA7108" w:rsidP="00AA7108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Ersin AKDAĞ</w:t>
            </w:r>
          </w:p>
        </w:tc>
        <w:tc>
          <w:tcPr>
            <w:tcW w:w="1984" w:type="dxa"/>
            <w:vAlign w:val="center"/>
          </w:tcPr>
          <w:p w14:paraId="1298A7D2" w14:textId="77777777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56AE275" w14:textId="6B329894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057861EE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24E707F2" w14:textId="086586A6" w:rsidR="00AA7108" w:rsidRPr="00113310" w:rsidRDefault="00AA7108" w:rsidP="00AA7108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Şef Eyüp Muhammed GÜNEŞ</w:t>
            </w:r>
          </w:p>
        </w:tc>
        <w:tc>
          <w:tcPr>
            <w:tcW w:w="1984" w:type="dxa"/>
            <w:vAlign w:val="center"/>
          </w:tcPr>
          <w:p w14:paraId="4E288FBA" w14:textId="16F0D49C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51EB0FC" w14:textId="0F1459AF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A7108" w14:paraId="20CBE7C1" w14:textId="77777777" w:rsidTr="005D67C4">
        <w:trPr>
          <w:trHeight w:val="567"/>
        </w:trPr>
        <w:tc>
          <w:tcPr>
            <w:tcW w:w="4815" w:type="dxa"/>
            <w:gridSpan w:val="2"/>
            <w:vAlign w:val="center"/>
          </w:tcPr>
          <w:p w14:paraId="3A6A67B5" w14:textId="03A76BD9" w:rsidR="00AA7108" w:rsidRPr="00113310" w:rsidRDefault="00AA7108" w:rsidP="00AA7108">
            <w:pPr>
              <w:pStyle w:val="GvdeMetni"/>
            </w:pPr>
            <w:proofErr w:type="spellStart"/>
            <w:r>
              <w:rPr>
                <w:rFonts w:asciiTheme="majorBidi" w:hAnsiTheme="majorBidi" w:cstheme="majorBidi"/>
              </w:rPr>
              <w:t>Bilg</w:t>
            </w:r>
            <w:proofErr w:type="spellEnd"/>
            <w:r>
              <w:rPr>
                <w:rFonts w:asciiTheme="majorBidi" w:hAnsiTheme="majorBidi" w:cstheme="majorBidi"/>
              </w:rPr>
              <w:t>. İşl. Mustafa DİNÇ</w:t>
            </w:r>
          </w:p>
        </w:tc>
        <w:tc>
          <w:tcPr>
            <w:tcW w:w="1984" w:type="dxa"/>
            <w:vAlign w:val="center"/>
          </w:tcPr>
          <w:p w14:paraId="1F196D23" w14:textId="77777777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D7C9E26" w14:textId="39CE8D51" w:rsidR="00AA7108" w:rsidRPr="00113310" w:rsidRDefault="00AA7108" w:rsidP="00AA710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7DA96513" w:rsidR="00715033" w:rsidRDefault="00715033" w:rsidP="00505B24">
      <w:pPr>
        <w:jc w:val="both"/>
      </w:pPr>
    </w:p>
    <w:p w14:paraId="66977BDE" w14:textId="533120CB" w:rsidR="009F1211" w:rsidRDefault="009F1211" w:rsidP="00505B24">
      <w:pPr>
        <w:jc w:val="both"/>
      </w:pPr>
    </w:p>
    <w:p w14:paraId="1EC3F1A7" w14:textId="77777777" w:rsidR="005D67C4" w:rsidRDefault="005D67C4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0C2C05">
        <w:trPr>
          <w:trHeight w:val="835"/>
        </w:trPr>
        <w:tc>
          <w:tcPr>
            <w:tcW w:w="9229" w:type="dxa"/>
            <w:vAlign w:val="center"/>
          </w:tcPr>
          <w:p w14:paraId="331B35D2" w14:textId="77777777" w:rsidR="00A82336" w:rsidRPr="00000803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8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TOPLANTI KARARLARI</w:t>
            </w:r>
          </w:p>
        </w:tc>
      </w:tr>
      <w:tr w:rsidR="00B042E8" w14:paraId="4983BF05" w14:textId="77777777" w:rsidTr="000C2C05">
        <w:trPr>
          <w:trHeight w:val="835"/>
        </w:trPr>
        <w:tc>
          <w:tcPr>
            <w:tcW w:w="9229" w:type="dxa"/>
          </w:tcPr>
          <w:p w14:paraId="61334E54" w14:textId="77777777" w:rsidR="00673600" w:rsidRPr="00000803" w:rsidRDefault="00673600" w:rsidP="006736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142E5" w14:textId="7572494A" w:rsidR="000C2C05" w:rsidRPr="007D44D7" w:rsidRDefault="000C2C05" w:rsidP="00AE4F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C05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314598" w:rsidRPr="007D44D7">
              <w:rPr>
                <w:rFonts w:ascii="Times New Roman" w:hAnsi="Times New Roman" w:cs="Times New Roman"/>
                <w:sz w:val="24"/>
                <w:szCs w:val="24"/>
              </w:rPr>
              <w:t>Eğitim Öğretim</w:t>
            </w:r>
            <w:r w:rsidR="00314598" w:rsidRPr="007D4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600" w:rsidRPr="007D44D7">
              <w:rPr>
                <w:rFonts w:ascii="Times New Roman" w:hAnsi="Times New Roman" w:cs="Times New Roman"/>
                <w:sz w:val="24"/>
                <w:szCs w:val="24"/>
              </w:rPr>
              <w:t>Komisyonunun</w:t>
            </w:r>
            <w:r w:rsidR="007741B2" w:rsidRPr="007D44D7">
              <w:rPr>
                <w:rFonts w:ascii="Times New Roman" w:hAnsi="Times New Roman" w:cs="Times New Roman"/>
                <w:sz w:val="24"/>
                <w:szCs w:val="24"/>
              </w:rPr>
              <w:t xml:space="preserve"> çalışma usul ve esasların</w:t>
            </w:r>
            <w:r w:rsidRPr="007D44D7">
              <w:rPr>
                <w:rFonts w:ascii="Times New Roman" w:hAnsi="Times New Roman" w:cs="Times New Roman"/>
                <w:sz w:val="24"/>
                <w:szCs w:val="24"/>
              </w:rPr>
              <w:t xml:space="preserve">ın, </w:t>
            </w:r>
            <w:r w:rsidR="00673600" w:rsidRPr="007D44D7">
              <w:rPr>
                <w:rFonts w:ascii="Times New Roman" w:hAnsi="Times New Roman" w:cs="Times New Roman"/>
                <w:sz w:val="24"/>
                <w:szCs w:val="24"/>
              </w:rPr>
              <w:t xml:space="preserve">komisyonun görev ve sorumlulukları </w:t>
            </w:r>
            <w:r w:rsidR="007741B2" w:rsidRPr="007D44D7">
              <w:rPr>
                <w:rFonts w:ascii="Times New Roman" w:hAnsi="Times New Roman" w:cs="Times New Roman"/>
                <w:sz w:val="24"/>
                <w:szCs w:val="24"/>
              </w:rPr>
              <w:t>ile yetkileri</w:t>
            </w:r>
            <w:r w:rsidRPr="007D44D7">
              <w:rPr>
                <w:rFonts w:ascii="Times New Roman" w:hAnsi="Times New Roman" w:cs="Times New Roman"/>
                <w:sz w:val="24"/>
                <w:szCs w:val="24"/>
              </w:rPr>
              <w:t xml:space="preserve"> aşağıda belirtildiği şekilde </w:t>
            </w:r>
            <w:r w:rsidR="00673600" w:rsidRPr="007D44D7">
              <w:rPr>
                <w:rFonts w:ascii="Times New Roman" w:hAnsi="Times New Roman" w:cs="Times New Roman"/>
                <w:sz w:val="24"/>
                <w:szCs w:val="24"/>
              </w:rPr>
              <w:t>yer almasına oy birliğiyle karar verildi.</w:t>
            </w:r>
          </w:p>
          <w:p w14:paraId="7FA534A9" w14:textId="77777777" w:rsidR="000C2C05" w:rsidRPr="007D44D7" w:rsidRDefault="000C2C05" w:rsidP="00AE4F63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C063" w14:textId="77777777" w:rsidR="000C2C05" w:rsidRPr="007D44D7" w:rsidRDefault="000C2C05" w:rsidP="00AE4F63">
            <w:pPr>
              <w:keepNext/>
              <w:keepLines/>
              <w:spacing w:line="276" w:lineRule="auto"/>
              <w:outlineLvl w:val="0"/>
              <w:rPr>
                <w:rFonts w:asciiTheme="majorBidi" w:eastAsia="MS Gothic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44D7">
              <w:rPr>
                <w:rFonts w:asciiTheme="majorBidi" w:eastAsia="MS Gothic" w:hAnsiTheme="majorBidi" w:cstheme="majorBidi"/>
                <w:b/>
                <w:bCs/>
                <w:color w:val="000000" w:themeColor="text1"/>
                <w:sz w:val="24"/>
                <w:szCs w:val="24"/>
              </w:rPr>
              <w:t>A. Çalışma Usul ve Esasları</w:t>
            </w:r>
          </w:p>
          <w:p w14:paraId="37F29CE3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Madde 1 – Dayanak</w:t>
            </w:r>
          </w:p>
          <w:p w14:paraId="39985594" w14:textId="3C72A48D" w:rsidR="000C2C05" w:rsidRPr="007D44D7" w:rsidRDefault="000C2C05" w:rsidP="00AE4F63">
            <w:pPr>
              <w:spacing w:line="276" w:lineRule="auto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Eğitim-Öğretim Komisyonu, fakülte yönetimi tarafından yürütülen kalite güvencesi ve akreditasyon çalışmaları kapsamında; Fakülte Kurulu kararları doğrultusunda faaliyetlerini yürütür.</w:t>
            </w:r>
          </w:p>
          <w:p w14:paraId="151F9B0E" w14:textId="77777777" w:rsidR="000C2C05" w:rsidRPr="007D44D7" w:rsidRDefault="000C2C05" w:rsidP="00AE4F63">
            <w:pPr>
              <w:spacing w:line="276" w:lineRule="auto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  <w:p w14:paraId="75FF8370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Madde 2 – Oluşum ve Görevlendirme</w:t>
            </w:r>
          </w:p>
          <w:p w14:paraId="2417F0C6" w14:textId="788C15CA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Komisyon, fakülte yönetimi tarafından görevlendirilen öğretim elemanlarından oluşur. Komisyon başkanı ve </w:t>
            </w:r>
            <w:proofErr w:type="gramStart"/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raportörü</w:t>
            </w:r>
            <w:proofErr w:type="gramEnd"/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 xml:space="preserve"> Dekan tarafından belirlenir.</w:t>
            </w:r>
          </w:p>
          <w:p w14:paraId="312CDEF2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  <w:p w14:paraId="19D33F8F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Madde 3 – Toplantılar</w:t>
            </w:r>
          </w:p>
          <w:p w14:paraId="457CA5E2" w14:textId="2171A76F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Komisyon, olağan olarak her yarıyılda en az iki kez toplanır. Gerek görülmesi hâlinde komisyon başkanının çağrısı üzerine olağanüstü toplantı yapılabilir. Toplantı ve kararlar tutanak altına alınır.</w:t>
            </w:r>
          </w:p>
          <w:p w14:paraId="203105AC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  <w:p w14:paraId="7C3B8B0D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Madde 4 – Karar Alma Usulü</w:t>
            </w:r>
          </w:p>
          <w:p w14:paraId="59F4B3A7" w14:textId="13B361BE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Komisyon, çalışmalarını iş birliği ve katılımcılık ilkeleri çerçevesinde yürütür. Alınan kararlar tavsiye niteliğinde olup, ilgili kurullara sunulur.</w:t>
            </w:r>
          </w:p>
          <w:p w14:paraId="63B969B9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  <w:p w14:paraId="41590D9F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Madde 5 – Raporlama ve İzleme</w:t>
            </w:r>
          </w:p>
          <w:p w14:paraId="1B9D04BB" w14:textId="5B19C4C8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Komisyon, yürüttüğü çalışmalara ilişkin değerlendirme ve önerilerini yazılı rapor hâlinde fakülte yönetimine sunar. Alınan kararların uygulanma süreçlerini izler ve geri bildirim sağlar.</w:t>
            </w:r>
          </w:p>
          <w:p w14:paraId="069F200D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  <w:p w14:paraId="6ED8D963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Madde 6 – Yürürlük ve Değişiklik</w:t>
            </w:r>
          </w:p>
          <w:p w14:paraId="71CB4575" w14:textId="1641CD5A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  <w:r w:rsidRPr="007D44D7">
              <w:rPr>
                <w:rFonts w:asciiTheme="majorBidi" w:eastAsia="MS Mincho" w:hAnsiTheme="majorBidi" w:cstheme="majorBidi"/>
                <w:sz w:val="24"/>
                <w:szCs w:val="24"/>
              </w:rPr>
              <w:t>Bu çalışma usul ve esasları, Fakülte Kurulu kararı ile yürürlüğe girer. Değişiklikler, komisyonun önerisi ve Fakülte Kurulu onayı ile yapılır.</w:t>
            </w:r>
          </w:p>
          <w:p w14:paraId="756FC03F" w14:textId="77777777" w:rsidR="000C2C05" w:rsidRPr="007D44D7" w:rsidRDefault="000C2C05" w:rsidP="00AE4F63">
            <w:pPr>
              <w:spacing w:line="276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</w:rPr>
            </w:pPr>
          </w:p>
          <w:p w14:paraId="1E349D4E" w14:textId="77777777" w:rsidR="000C2C05" w:rsidRPr="007D44D7" w:rsidRDefault="000C2C05" w:rsidP="00AE4F63">
            <w:pPr>
              <w:spacing w:before="100" w:beforeAutospacing="1" w:after="100" w:afterAutospacing="1" w:line="276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B. Görevler</w:t>
            </w:r>
          </w:p>
          <w:p w14:paraId="6383804B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Fakültede yürütülen eğitim-öğretim faaliyetlerini akreditasyon ölçütleri doğrultusunda değerlendirmek.</w:t>
            </w:r>
          </w:p>
          <w:p w14:paraId="46DD979C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Program amaçları ve program öğrenme çıktılarının belirlenmesi, güncellenmesi ve izlenmesine katkı sağlamak.</w:t>
            </w:r>
          </w:p>
          <w:p w14:paraId="3E0E17C2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Ders öğrenme çıktılarının program öğrenme çıktıları ile uyumunu incelemek.</w:t>
            </w:r>
          </w:p>
          <w:p w14:paraId="3DB25062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Müfredatın güncelliğini, bütünlüğünü ve yeterliliğini değerlendirmek.</w:t>
            </w:r>
          </w:p>
          <w:p w14:paraId="7CC29072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Öğretim yöntem ve tekniklerinin etkililiğini izlemek ve geliştirilmesine yönelik öneriler hazırlamak.</w:t>
            </w:r>
          </w:p>
          <w:p w14:paraId="4F2C653E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lastRenderedPageBreak/>
              <w:t>Uygulamalı eğitim, staj ve mesleki uygulamaların eğitim hedeflerine uygunluğunu incelemek.</w:t>
            </w:r>
          </w:p>
          <w:p w14:paraId="7534D0DD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Eğitim-öğretim süreçlerine ilişkin öğrenci, mezun ve paydaş geri bildirimlerini analiz etmek.</w:t>
            </w:r>
          </w:p>
          <w:p w14:paraId="063DAA38" w14:textId="77777777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Eğitim-öğretim alanında iyileştirmeye açık yönleri belirlemek ve öneriler geliştirmek.</w:t>
            </w:r>
          </w:p>
          <w:p w14:paraId="58B001FE" w14:textId="4BCC01A2" w:rsidR="000C2C05" w:rsidRPr="007D44D7" w:rsidRDefault="000C2C05" w:rsidP="00AE4F63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7D44D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tr-TR"/>
              </w:rPr>
              <w:t>Akreditasyon sürecine yönelik eğitim-öğretimle ilgili belge, veri ve raporları hazırlamak.</w:t>
            </w:r>
          </w:p>
          <w:p w14:paraId="73494443" w14:textId="77777777" w:rsidR="000C2C05" w:rsidRPr="007D44D7" w:rsidRDefault="000C2C05" w:rsidP="00AE4F63">
            <w:pPr>
              <w:pStyle w:val="Balk3"/>
              <w:spacing w:line="276" w:lineRule="auto"/>
              <w:outlineLvl w:val="2"/>
              <w:rPr>
                <w:color w:val="000000"/>
                <w:sz w:val="24"/>
                <w:szCs w:val="24"/>
              </w:rPr>
            </w:pPr>
            <w:r w:rsidRPr="007D44D7">
              <w:rPr>
                <w:color w:val="000000"/>
                <w:sz w:val="24"/>
                <w:szCs w:val="24"/>
              </w:rPr>
              <w:t>C. Yetkileri</w:t>
            </w:r>
          </w:p>
          <w:p w14:paraId="5CCCBA1F" w14:textId="77777777" w:rsidR="000C2C05" w:rsidRPr="007D44D7" w:rsidRDefault="000C2C05" w:rsidP="00AE4F63">
            <w:pPr>
              <w:pStyle w:val="NormalWeb"/>
              <w:numPr>
                <w:ilvl w:val="0"/>
                <w:numId w:val="23"/>
              </w:numPr>
              <w:spacing w:line="276" w:lineRule="auto"/>
              <w:rPr>
                <w:color w:val="000000"/>
              </w:rPr>
            </w:pPr>
            <w:r w:rsidRPr="007D44D7">
              <w:rPr>
                <w:color w:val="000000"/>
              </w:rPr>
              <w:t>Eğitim-öğretim süreçlerine ilişkin bilgi ve belgeleri ilgili birimlerden talep etmek.</w:t>
            </w:r>
          </w:p>
          <w:p w14:paraId="350D13CD" w14:textId="77777777" w:rsidR="000C2C05" w:rsidRPr="007D44D7" w:rsidRDefault="000C2C05" w:rsidP="00AE4F63">
            <w:pPr>
              <w:pStyle w:val="NormalWeb"/>
              <w:numPr>
                <w:ilvl w:val="0"/>
                <w:numId w:val="23"/>
              </w:numPr>
              <w:spacing w:line="276" w:lineRule="auto"/>
              <w:rPr>
                <w:color w:val="000000"/>
              </w:rPr>
            </w:pPr>
            <w:r w:rsidRPr="007D44D7">
              <w:rPr>
                <w:color w:val="000000"/>
              </w:rPr>
              <w:t>İnceleme ve değerlendirme yapmak üzere alt çalışma grupları oluşturulmasını önermek.</w:t>
            </w:r>
          </w:p>
          <w:p w14:paraId="51BD5F76" w14:textId="77777777" w:rsidR="000C2C05" w:rsidRPr="007D44D7" w:rsidRDefault="000C2C05" w:rsidP="00AE4F63">
            <w:pPr>
              <w:pStyle w:val="NormalWeb"/>
              <w:numPr>
                <w:ilvl w:val="0"/>
                <w:numId w:val="23"/>
              </w:numPr>
              <w:spacing w:line="276" w:lineRule="auto"/>
              <w:rPr>
                <w:color w:val="000000"/>
              </w:rPr>
            </w:pPr>
            <w:r w:rsidRPr="007D44D7">
              <w:rPr>
                <w:color w:val="000000"/>
              </w:rPr>
              <w:t>Eğitim-öğretim alanına ilişkin iyileştirme önerilerini fakülte yönetimine sunmak.</w:t>
            </w:r>
          </w:p>
          <w:p w14:paraId="69041059" w14:textId="77777777" w:rsidR="000C2C05" w:rsidRPr="007D44D7" w:rsidRDefault="000C2C05" w:rsidP="00AE4F63">
            <w:pPr>
              <w:pStyle w:val="NormalWeb"/>
              <w:numPr>
                <w:ilvl w:val="0"/>
                <w:numId w:val="23"/>
              </w:numPr>
              <w:spacing w:line="276" w:lineRule="auto"/>
              <w:rPr>
                <w:color w:val="000000"/>
              </w:rPr>
            </w:pPr>
            <w:r w:rsidRPr="007D44D7">
              <w:rPr>
                <w:color w:val="000000"/>
              </w:rPr>
              <w:t>Akreditasyon ve kalite güvencesi çalışmaları kapsamında toplantılar düzenlemek.</w:t>
            </w:r>
          </w:p>
          <w:p w14:paraId="5F729324" w14:textId="7657BE12" w:rsidR="00000803" w:rsidRPr="007741B2" w:rsidRDefault="00000803" w:rsidP="000C2C05">
            <w:pPr>
              <w:pStyle w:val="NormalWeb"/>
              <w:ind w:left="720"/>
              <w:rPr>
                <w:color w:val="000000"/>
              </w:rPr>
            </w:pPr>
          </w:p>
        </w:tc>
      </w:tr>
      <w:tr w:rsidR="003043EA" w14:paraId="6A8640BA" w14:textId="77777777" w:rsidTr="000C2C05">
        <w:trPr>
          <w:trHeight w:val="835"/>
        </w:trPr>
        <w:tc>
          <w:tcPr>
            <w:tcW w:w="9229" w:type="dxa"/>
          </w:tcPr>
          <w:p w14:paraId="15D93239" w14:textId="77777777" w:rsidR="00B36BC8" w:rsidRDefault="00B36BC8" w:rsidP="00B36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30DCF" w14:textId="259D1271" w:rsidR="003043EA" w:rsidRPr="00A96F25" w:rsidRDefault="00D35BFC" w:rsidP="00B36B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6F25">
              <w:rPr>
                <w:rFonts w:ascii="Times New Roman" w:hAnsi="Times New Roman" w:cs="Times New Roman"/>
                <w:sz w:val="24"/>
                <w:szCs w:val="24"/>
              </w:rPr>
              <w:t>Eğitim Öğretim Komisyonunun Politikasının aşağıdaki gibi olmasına karar verildi.</w:t>
            </w:r>
          </w:p>
          <w:p w14:paraId="4F47AF22" w14:textId="77777777" w:rsidR="00D35BFC" w:rsidRPr="00A96F25" w:rsidRDefault="00D35BFC" w:rsidP="00B36BC8">
            <w:pPr>
              <w:pStyle w:val="Liste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25">
              <w:rPr>
                <w:rFonts w:ascii="Times New Roman" w:hAnsi="Times New Roman" w:cs="Times New Roman"/>
                <w:sz w:val="24"/>
                <w:szCs w:val="24"/>
              </w:rPr>
              <w:t>Eğitim-öğretimi, çağın ihtiyaçları ve gelişimi dikkate alınarak öğrenci odaklı yürütmek.</w:t>
            </w:r>
          </w:p>
          <w:p w14:paraId="0C1694C7" w14:textId="65AF50F5" w:rsidR="00D35BFC" w:rsidRPr="00A96F25" w:rsidRDefault="00D35BFC" w:rsidP="00B36BC8">
            <w:pPr>
              <w:pStyle w:val="Liste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25">
              <w:rPr>
                <w:rFonts w:ascii="Times New Roman" w:hAnsi="Times New Roman" w:cs="Times New Roman"/>
                <w:sz w:val="24"/>
                <w:szCs w:val="24"/>
              </w:rPr>
              <w:t>Öğrenci odaklı bir eğitim ile lisans ve lisansüstü öğrencilerinin başarılı olmasına teşvik edilmesi yönünde çalışmalar yürütmek.</w:t>
            </w:r>
          </w:p>
          <w:p w14:paraId="59565F92" w14:textId="61D88ACE" w:rsidR="00D35BFC" w:rsidRPr="00A96F25" w:rsidRDefault="00D35BFC" w:rsidP="00B36BC8">
            <w:pPr>
              <w:pStyle w:val="Liste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25">
              <w:rPr>
                <w:rFonts w:ascii="Times New Roman" w:hAnsi="Times New Roman" w:cs="Times New Roman"/>
                <w:sz w:val="24"/>
                <w:szCs w:val="24"/>
              </w:rPr>
              <w:t>Bilim ve sanat çalışmalarında tarihimizden gelen mirasın korunması yönünde eğitim-öğretim uygulamaları gerçekleştirmek ve çeşitlendirmek.</w:t>
            </w:r>
          </w:p>
          <w:p w14:paraId="619D569A" w14:textId="3C703AD3" w:rsidR="00D35BFC" w:rsidRPr="00A96F25" w:rsidRDefault="00D35BFC" w:rsidP="00B36BC8">
            <w:pPr>
              <w:pStyle w:val="Liste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25">
              <w:rPr>
                <w:rFonts w:ascii="Times New Roman" w:hAnsi="Times New Roman" w:cs="Times New Roman"/>
                <w:sz w:val="24"/>
                <w:szCs w:val="24"/>
              </w:rPr>
              <w:t>Öğrencileri, dini ilimlerde mesleki yetkinliğin yanı sıra çağın gerekliliklerine uygun yeterlilikler ve hayat boyu öğrenme becerisiyle donatacak bir eğitim modeli benimsemek.</w:t>
            </w:r>
          </w:p>
          <w:p w14:paraId="20FA83C4" w14:textId="77777777" w:rsidR="00D35BFC" w:rsidRPr="00A96F25" w:rsidRDefault="00D35BFC" w:rsidP="00B36BC8">
            <w:pPr>
              <w:pStyle w:val="Liste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25">
              <w:rPr>
                <w:rFonts w:ascii="Times New Roman" w:hAnsi="Times New Roman" w:cs="Times New Roman"/>
                <w:sz w:val="24"/>
                <w:szCs w:val="24"/>
              </w:rPr>
              <w:t>Öğrencilerin ve öğretim kadrosunun dijital okuryazarlık konusundaki becerilerini geliştirmek.</w:t>
            </w:r>
          </w:p>
          <w:p w14:paraId="415810B8" w14:textId="3E536946" w:rsidR="00A96F25" w:rsidRPr="00A96F25" w:rsidRDefault="00A96F25" w:rsidP="00A96F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7ED3DB" w14:textId="3EDC5C45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C890D" w14:textId="77777777" w:rsidR="00F973EA" w:rsidRDefault="00F973EA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6D85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A5AE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4991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9351" w:type="dxa"/>
        <w:tblInd w:w="0" w:type="dxa"/>
        <w:tblLook w:val="04A0" w:firstRow="1" w:lastRow="0" w:firstColumn="1" w:lastColumn="0" w:noHBand="0" w:noVBand="1"/>
      </w:tblPr>
      <w:tblGrid>
        <w:gridCol w:w="1968"/>
        <w:gridCol w:w="1396"/>
        <w:gridCol w:w="1593"/>
        <w:gridCol w:w="1356"/>
        <w:gridCol w:w="1904"/>
        <w:gridCol w:w="1134"/>
      </w:tblGrid>
      <w:tr w:rsidR="00AA7108" w:rsidRPr="00EB3E37" w14:paraId="3BF2F0B1" w14:textId="77777777" w:rsidTr="007624FF">
        <w:trPr>
          <w:trHeight w:val="397"/>
        </w:trPr>
        <w:tc>
          <w:tcPr>
            <w:tcW w:w="1968" w:type="dxa"/>
          </w:tcPr>
          <w:p w14:paraId="742F2791" w14:textId="6FADE734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T. KARATEKE</w:t>
            </w:r>
          </w:p>
        </w:tc>
        <w:tc>
          <w:tcPr>
            <w:tcW w:w="1396" w:type="dxa"/>
            <w:vAlign w:val="center"/>
          </w:tcPr>
          <w:p w14:paraId="500DED12" w14:textId="01A0AFB4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93" w:type="dxa"/>
          </w:tcPr>
          <w:p w14:paraId="414CAE12" w14:textId="704091A5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E. YAR</w:t>
            </w:r>
          </w:p>
        </w:tc>
        <w:tc>
          <w:tcPr>
            <w:tcW w:w="1356" w:type="dxa"/>
            <w:vAlign w:val="center"/>
          </w:tcPr>
          <w:p w14:paraId="35BEBCE9" w14:textId="1C53B103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04" w:type="dxa"/>
          </w:tcPr>
          <w:p w14:paraId="7161FE59" w14:textId="463B70C8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S. KILIÇ</w:t>
            </w:r>
          </w:p>
        </w:tc>
        <w:tc>
          <w:tcPr>
            <w:tcW w:w="1134" w:type="dxa"/>
            <w:vAlign w:val="center"/>
          </w:tcPr>
          <w:p w14:paraId="57679604" w14:textId="155B89FF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AA7108" w:rsidRPr="00EB3E37" w14:paraId="13FA6D7E" w14:textId="77777777" w:rsidTr="007624FF">
        <w:trPr>
          <w:trHeight w:val="397"/>
        </w:trPr>
        <w:tc>
          <w:tcPr>
            <w:tcW w:w="1968" w:type="dxa"/>
          </w:tcPr>
          <w:p w14:paraId="72089CF3" w14:textId="7D8B9E30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S. ÖZARSLAN</w:t>
            </w:r>
          </w:p>
        </w:tc>
        <w:tc>
          <w:tcPr>
            <w:tcW w:w="1396" w:type="dxa"/>
            <w:vAlign w:val="center"/>
          </w:tcPr>
          <w:p w14:paraId="4F7A10A2" w14:textId="0C813DD9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93" w:type="dxa"/>
          </w:tcPr>
          <w:p w14:paraId="18DD0885" w14:textId="78204AAB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H. KARATAŞ</w:t>
            </w:r>
          </w:p>
        </w:tc>
        <w:tc>
          <w:tcPr>
            <w:tcW w:w="1356" w:type="dxa"/>
            <w:vAlign w:val="center"/>
          </w:tcPr>
          <w:p w14:paraId="729C9ED8" w14:textId="51BA8087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04" w:type="dxa"/>
          </w:tcPr>
          <w:p w14:paraId="7D86BE13" w14:textId="71627561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E.S ARITEPE</w:t>
            </w:r>
          </w:p>
        </w:tc>
        <w:tc>
          <w:tcPr>
            <w:tcW w:w="1134" w:type="dxa"/>
            <w:vAlign w:val="center"/>
          </w:tcPr>
          <w:p w14:paraId="3536D79D" w14:textId="73C9BC99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AA7108" w:rsidRPr="00EB3E37" w14:paraId="4DF4C58B" w14:textId="77777777" w:rsidTr="00817D34">
        <w:trPr>
          <w:trHeight w:val="397"/>
        </w:trPr>
        <w:tc>
          <w:tcPr>
            <w:tcW w:w="1968" w:type="dxa"/>
          </w:tcPr>
          <w:p w14:paraId="09472AE2" w14:textId="67E24CEC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N. TAN</w:t>
            </w:r>
          </w:p>
        </w:tc>
        <w:tc>
          <w:tcPr>
            <w:tcW w:w="1396" w:type="dxa"/>
            <w:vAlign w:val="center"/>
          </w:tcPr>
          <w:p w14:paraId="0A44C4BF" w14:textId="0324F13D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93" w:type="dxa"/>
          </w:tcPr>
          <w:p w14:paraId="0B3C800C" w14:textId="70946BA6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T. KARAMAN</w:t>
            </w:r>
          </w:p>
        </w:tc>
        <w:tc>
          <w:tcPr>
            <w:tcW w:w="1356" w:type="dxa"/>
            <w:vAlign w:val="center"/>
          </w:tcPr>
          <w:p w14:paraId="2B0909BA" w14:textId="1B0D78D7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04" w:type="dxa"/>
          </w:tcPr>
          <w:p w14:paraId="14C6F559" w14:textId="258971FC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E. AKDAĞ</w:t>
            </w:r>
          </w:p>
        </w:tc>
        <w:tc>
          <w:tcPr>
            <w:tcW w:w="1134" w:type="dxa"/>
            <w:vAlign w:val="center"/>
          </w:tcPr>
          <w:p w14:paraId="2FBF0377" w14:textId="7CE20A6A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AA7108" w:rsidRPr="00EB3E37" w14:paraId="2AEF81F2" w14:textId="77777777" w:rsidTr="00817D34">
        <w:trPr>
          <w:trHeight w:val="397"/>
        </w:trPr>
        <w:tc>
          <w:tcPr>
            <w:tcW w:w="1968" w:type="dxa"/>
          </w:tcPr>
          <w:p w14:paraId="63D8A3FD" w14:textId="320D9B5F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E. M. GÜNEŞ</w:t>
            </w:r>
          </w:p>
        </w:tc>
        <w:tc>
          <w:tcPr>
            <w:tcW w:w="1396" w:type="dxa"/>
            <w:vAlign w:val="center"/>
          </w:tcPr>
          <w:p w14:paraId="09180E89" w14:textId="3B475BF2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93" w:type="dxa"/>
          </w:tcPr>
          <w:p w14:paraId="7AF24747" w14:textId="337AB036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M. DİNÇ</w:t>
            </w:r>
          </w:p>
        </w:tc>
        <w:tc>
          <w:tcPr>
            <w:tcW w:w="1356" w:type="dxa"/>
            <w:vAlign w:val="center"/>
          </w:tcPr>
          <w:p w14:paraId="3BA560C2" w14:textId="6EE19C88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E3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04" w:type="dxa"/>
          </w:tcPr>
          <w:p w14:paraId="527DD6F4" w14:textId="7B019B1C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AC3EBC" w14:textId="02FB16F9" w:rsidR="00AA7108" w:rsidRPr="00EB3E37" w:rsidRDefault="00AA7108" w:rsidP="00AA7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E58"/>
    <w:multiLevelType w:val="multilevel"/>
    <w:tmpl w:val="C6B6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6069"/>
    <w:multiLevelType w:val="hybridMultilevel"/>
    <w:tmpl w:val="B9F0E3D0"/>
    <w:lvl w:ilvl="0" w:tplc="C2DE62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F11"/>
    <w:multiLevelType w:val="hybridMultilevel"/>
    <w:tmpl w:val="DE2A97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5F80"/>
    <w:multiLevelType w:val="hybridMultilevel"/>
    <w:tmpl w:val="4468CEB4"/>
    <w:lvl w:ilvl="0" w:tplc="D474F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2141"/>
    <w:multiLevelType w:val="hybridMultilevel"/>
    <w:tmpl w:val="AE80E0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32EB"/>
    <w:multiLevelType w:val="hybridMultilevel"/>
    <w:tmpl w:val="029C84DE"/>
    <w:lvl w:ilvl="0" w:tplc="DE422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740FE"/>
    <w:multiLevelType w:val="hybridMultilevel"/>
    <w:tmpl w:val="0712A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5E34"/>
    <w:multiLevelType w:val="multilevel"/>
    <w:tmpl w:val="7D40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A1FFB"/>
    <w:multiLevelType w:val="hybridMultilevel"/>
    <w:tmpl w:val="0FC44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C6368"/>
    <w:multiLevelType w:val="hybridMultilevel"/>
    <w:tmpl w:val="CB224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93503"/>
    <w:multiLevelType w:val="hybridMultilevel"/>
    <w:tmpl w:val="34B68C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1BE9"/>
    <w:multiLevelType w:val="hybridMultilevel"/>
    <w:tmpl w:val="7BD892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30C9F"/>
    <w:multiLevelType w:val="hybridMultilevel"/>
    <w:tmpl w:val="0E8A2D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27B5C"/>
    <w:multiLevelType w:val="multilevel"/>
    <w:tmpl w:val="77AC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443F7"/>
    <w:multiLevelType w:val="hybridMultilevel"/>
    <w:tmpl w:val="2CAE5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906A9A"/>
    <w:multiLevelType w:val="multilevel"/>
    <w:tmpl w:val="A6E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C589C"/>
    <w:multiLevelType w:val="hybridMultilevel"/>
    <w:tmpl w:val="0B0C19CA"/>
    <w:lvl w:ilvl="0" w:tplc="E6E4356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E5B28"/>
    <w:multiLevelType w:val="hybridMultilevel"/>
    <w:tmpl w:val="79F8A6EA"/>
    <w:lvl w:ilvl="0" w:tplc="966ACF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7E47"/>
    <w:multiLevelType w:val="hybridMultilevel"/>
    <w:tmpl w:val="2EB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15081"/>
    <w:multiLevelType w:val="hybridMultilevel"/>
    <w:tmpl w:val="7D4EB5CE"/>
    <w:lvl w:ilvl="0" w:tplc="55ECA61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615D"/>
    <w:multiLevelType w:val="hybridMultilevel"/>
    <w:tmpl w:val="E60043B4"/>
    <w:lvl w:ilvl="0" w:tplc="AA2A94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21"/>
  </w:num>
  <w:num w:numId="9">
    <w:abstractNumId w:val="15"/>
  </w:num>
  <w:num w:numId="10">
    <w:abstractNumId w:val="6"/>
  </w:num>
  <w:num w:numId="11">
    <w:abstractNumId w:val="2"/>
  </w:num>
  <w:num w:numId="12">
    <w:abstractNumId w:val="24"/>
  </w:num>
  <w:num w:numId="13">
    <w:abstractNumId w:val="19"/>
  </w:num>
  <w:num w:numId="14">
    <w:abstractNumId w:val="20"/>
  </w:num>
  <w:num w:numId="15">
    <w:abstractNumId w:val="14"/>
  </w:num>
  <w:num w:numId="16">
    <w:abstractNumId w:val="5"/>
  </w:num>
  <w:num w:numId="17">
    <w:abstractNumId w:val="22"/>
  </w:num>
  <w:num w:numId="18">
    <w:abstractNumId w:val="0"/>
  </w:num>
  <w:num w:numId="19">
    <w:abstractNumId w:val="16"/>
  </w:num>
  <w:num w:numId="20">
    <w:abstractNumId w:val="3"/>
  </w:num>
  <w:num w:numId="21">
    <w:abstractNumId w:val="7"/>
  </w:num>
  <w:num w:numId="22">
    <w:abstractNumId w:val="8"/>
  </w:num>
  <w:num w:numId="23">
    <w:abstractNumId w:val="18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0803"/>
    <w:rsid w:val="00006651"/>
    <w:rsid w:val="00030401"/>
    <w:rsid w:val="00035876"/>
    <w:rsid w:val="00047D9E"/>
    <w:rsid w:val="000970E7"/>
    <w:rsid w:val="000A6CC9"/>
    <w:rsid w:val="000C2C05"/>
    <w:rsid w:val="000F10D6"/>
    <w:rsid w:val="00102E8E"/>
    <w:rsid w:val="00110C77"/>
    <w:rsid w:val="00113310"/>
    <w:rsid w:val="001768D7"/>
    <w:rsid w:val="00186C0A"/>
    <w:rsid w:val="001A1A47"/>
    <w:rsid w:val="001F10D9"/>
    <w:rsid w:val="00204BAB"/>
    <w:rsid w:val="002134FB"/>
    <w:rsid w:val="002439AE"/>
    <w:rsid w:val="00272648"/>
    <w:rsid w:val="002A2982"/>
    <w:rsid w:val="002C38B2"/>
    <w:rsid w:val="002C3C7C"/>
    <w:rsid w:val="002E1933"/>
    <w:rsid w:val="002F4FDE"/>
    <w:rsid w:val="002F6883"/>
    <w:rsid w:val="003043EA"/>
    <w:rsid w:val="00314598"/>
    <w:rsid w:val="00317ED2"/>
    <w:rsid w:val="00321A07"/>
    <w:rsid w:val="00331F74"/>
    <w:rsid w:val="00380304"/>
    <w:rsid w:val="003974AF"/>
    <w:rsid w:val="003A59EF"/>
    <w:rsid w:val="003A5A9B"/>
    <w:rsid w:val="003B2105"/>
    <w:rsid w:val="003D3001"/>
    <w:rsid w:val="003F6659"/>
    <w:rsid w:val="004230C8"/>
    <w:rsid w:val="00423236"/>
    <w:rsid w:val="00447510"/>
    <w:rsid w:val="00462422"/>
    <w:rsid w:val="00470604"/>
    <w:rsid w:val="004B3C3F"/>
    <w:rsid w:val="004C00DA"/>
    <w:rsid w:val="004D0867"/>
    <w:rsid w:val="00505B24"/>
    <w:rsid w:val="00541414"/>
    <w:rsid w:val="0057067D"/>
    <w:rsid w:val="005B59EA"/>
    <w:rsid w:val="005C4714"/>
    <w:rsid w:val="005D67C4"/>
    <w:rsid w:val="00604C6E"/>
    <w:rsid w:val="00615EFA"/>
    <w:rsid w:val="006337E6"/>
    <w:rsid w:val="00643975"/>
    <w:rsid w:val="0064430D"/>
    <w:rsid w:val="006643A3"/>
    <w:rsid w:val="00672485"/>
    <w:rsid w:val="00673600"/>
    <w:rsid w:val="00677B1B"/>
    <w:rsid w:val="00677C14"/>
    <w:rsid w:val="006B0467"/>
    <w:rsid w:val="006D1474"/>
    <w:rsid w:val="00700A27"/>
    <w:rsid w:val="00712750"/>
    <w:rsid w:val="00715033"/>
    <w:rsid w:val="0073665D"/>
    <w:rsid w:val="00763B60"/>
    <w:rsid w:val="007741B2"/>
    <w:rsid w:val="007A49A4"/>
    <w:rsid w:val="007B4901"/>
    <w:rsid w:val="007C6D1B"/>
    <w:rsid w:val="007D44D7"/>
    <w:rsid w:val="008032C2"/>
    <w:rsid w:val="00810349"/>
    <w:rsid w:val="008164A9"/>
    <w:rsid w:val="00822248"/>
    <w:rsid w:val="0084432E"/>
    <w:rsid w:val="00852E78"/>
    <w:rsid w:val="008A0891"/>
    <w:rsid w:val="008B1F71"/>
    <w:rsid w:val="008F0F62"/>
    <w:rsid w:val="00917C62"/>
    <w:rsid w:val="00935F6F"/>
    <w:rsid w:val="009A0A6E"/>
    <w:rsid w:val="009A12A1"/>
    <w:rsid w:val="009C2DB8"/>
    <w:rsid w:val="009E5D0D"/>
    <w:rsid w:val="009F1211"/>
    <w:rsid w:val="00A20EB0"/>
    <w:rsid w:val="00A312A4"/>
    <w:rsid w:val="00A517D6"/>
    <w:rsid w:val="00A55222"/>
    <w:rsid w:val="00A82336"/>
    <w:rsid w:val="00A90F33"/>
    <w:rsid w:val="00A96F25"/>
    <w:rsid w:val="00AA7108"/>
    <w:rsid w:val="00AB16D0"/>
    <w:rsid w:val="00AC41BC"/>
    <w:rsid w:val="00AE4F63"/>
    <w:rsid w:val="00B01965"/>
    <w:rsid w:val="00B042E8"/>
    <w:rsid w:val="00B05D3E"/>
    <w:rsid w:val="00B114B3"/>
    <w:rsid w:val="00B345B4"/>
    <w:rsid w:val="00B36BC8"/>
    <w:rsid w:val="00B400AE"/>
    <w:rsid w:val="00B4281F"/>
    <w:rsid w:val="00B94AB2"/>
    <w:rsid w:val="00BC3811"/>
    <w:rsid w:val="00C0528C"/>
    <w:rsid w:val="00C114DD"/>
    <w:rsid w:val="00C3005A"/>
    <w:rsid w:val="00C32D1E"/>
    <w:rsid w:val="00C61A2B"/>
    <w:rsid w:val="00C8108A"/>
    <w:rsid w:val="00C92E0E"/>
    <w:rsid w:val="00CA0B1D"/>
    <w:rsid w:val="00CD0060"/>
    <w:rsid w:val="00CD5FD0"/>
    <w:rsid w:val="00CE0B3A"/>
    <w:rsid w:val="00CE7D3E"/>
    <w:rsid w:val="00CF1582"/>
    <w:rsid w:val="00D35BFC"/>
    <w:rsid w:val="00D746EC"/>
    <w:rsid w:val="00D81628"/>
    <w:rsid w:val="00D95F45"/>
    <w:rsid w:val="00DB3A71"/>
    <w:rsid w:val="00DE1305"/>
    <w:rsid w:val="00DF3083"/>
    <w:rsid w:val="00E13CFC"/>
    <w:rsid w:val="00E4641D"/>
    <w:rsid w:val="00E47A40"/>
    <w:rsid w:val="00E60C7F"/>
    <w:rsid w:val="00E66CE0"/>
    <w:rsid w:val="00E91963"/>
    <w:rsid w:val="00EA5428"/>
    <w:rsid w:val="00EA6762"/>
    <w:rsid w:val="00EB3E37"/>
    <w:rsid w:val="00EB44E8"/>
    <w:rsid w:val="00EC2E1A"/>
    <w:rsid w:val="00EC40F5"/>
    <w:rsid w:val="00EC60E8"/>
    <w:rsid w:val="00F60A77"/>
    <w:rsid w:val="00F70E1F"/>
    <w:rsid w:val="00F75D64"/>
    <w:rsid w:val="00F92BD1"/>
    <w:rsid w:val="00F973EA"/>
    <w:rsid w:val="00FB1AC0"/>
    <w:rsid w:val="00FB53F7"/>
    <w:rsid w:val="00FC60F1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paragraph" w:styleId="Balk3">
    <w:name w:val="heading 3"/>
    <w:basedOn w:val="Normal"/>
    <w:link w:val="Balk3Char"/>
    <w:uiPriority w:val="9"/>
    <w:qFormat/>
    <w:rsid w:val="00774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F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1211"/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8108A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741B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77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admin</cp:lastModifiedBy>
  <cp:revision>2</cp:revision>
  <cp:lastPrinted>2026-01-08T11:11:00Z</cp:lastPrinted>
  <dcterms:created xsi:type="dcterms:W3CDTF">2026-02-06T09:18:00Z</dcterms:created>
  <dcterms:modified xsi:type="dcterms:W3CDTF">2026-02-06T09:18:00Z</dcterms:modified>
</cp:coreProperties>
</file>